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28529" w14:textId="77777777" w:rsidR="0083268F" w:rsidRPr="00DA5E51" w:rsidRDefault="0083268F" w:rsidP="00EB7B95">
      <w:pPr>
        <w:bidi/>
        <w:spacing w:before="120" w:after="120" w:line="240" w:lineRule="auto"/>
        <w:jc w:val="center"/>
        <w:rPr>
          <w:rFonts w:ascii="Simplified Arabic" w:eastAsia="Arial" w:hAnsi="Simplified Arabic" w:cs="Simplified Arabic"/>
          <w:sz w:val="24"/>
          <w:szCs w:val="24"/>
          <w:lang w:val="en-GB" w:eastAsia="en-GB"/>
        </w:rPr>
      </w:pPr>
      <w:r w:rsidRPr="00DA5E51">
        <w:rPr>
          <w:rFonts w:ascii="Simplified Arabic" w:eastAsia="Arial" w:hAnsi="Simplified Arabic" w:cs="Simplified Arabic"/>
          <w:b/>
          <w:bCs/>
          <w:color w:val="1B3A6B"/>
          <w:sz w:val="36"/>
          <w:szCs w:val="36"/>
          <w:rtl/>
          <w:lang w:val="en-GB" w:eastAsia="en-GB"/>
        </w:rPr>
        <w:t>مجلة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36"/>
          <w:szCs w:val="3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36"/>
          <w:szCs w:val="36"/>
          <w:rtl/>
          <w:lang w:val="en-GB" w:eastAsia="en-GB"/>
        </w:rPr>
        <w:t>القرار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36"/>
          <w:szCs w:val="3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36"/>
          <w:szCs w:val="36"/>
          <w:rtl/>
          <w:lang w:val="en-GB" w:eastAsia="en-GB"/>
        </w:rPr>
        <w:t>للبحوث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36"/>
          <w:szCs w:val="3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36"/>
          <w:szCs w:val="36"/>
          <w:rtl/>
          <w:lang w:val="en-GB" w:eastAsia="en-GB"/>
        </w:rPr>
        <w:t>العلمية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36"/>
          <w:szCs w:val="3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36"/>
          <w:szCs w:val="36"/>
          <w:rtl/>
          <w:lang w:val="en-GB" w:eastAsia="en-GB"/>
        </w:rPr>
        <w:t>المحكّمة</w:t>
      </w:r>
    </w:p>
    <w:p w14:paraId="005B3417" w14:textId="636D2AA7" w:rsidR="0083268F" w:rsidRPr="00DA5E51" w:rsidRDefault="00DC78FF" w:rsidP="00EB7B95">
      <w:pPr>
        <w:pBdr>
          <w:bottom w:val="single" w:sz="6" w:space="1" w:color="1B3A6B"/>
        </w:pBdr>
        <w:bidi/>
        <w:spacing w:before="120" w:after="120" w:line="240" w:lineRule="auto"/>
        <w:jc w:val="center"/>
        <w:rPr>
          <w:rFonts w:ascii="Simplified Arabic" w:eastAsia="Arial" w:hAnsi="Simplified Arabic" w:cs="Simplified Arabic"/>
          <w:sz w:val="24"/>
          <w:szCs w:val="24"/>
          <w:lang w:val="en-GB" w:eastAsia="en-GB"/>
        </w:rPr>
      </w:pPr>
      <w:r w:rsidRPr="00DA5E51">
        <w:rPr>
          <w:rFonts w:ascii="Simplified Arabic" w:eastAsia="Arial" w:hAnsi="Simplified Arabic" w:cs="Simplified Arabic"/>
          <w:color w:val="777777"/>
          <w:sz w:val="20"/>
          <w:szCs w:val="20"/>
          <w:lang w:val="en-GB" w:eastAsia="en-GB"/>
        </w:rPr>
        <w:t xml:space="preserve">www.elqarar.com </w:t>
      </w:r>
      <w:r w:rsidR="00D700B2" w:rsidRPr="00DA5E51">
        <w:rPr>
          <w:rFonts w:ascii="Simplified Arabic" w:eastAsia="Arial" w:hAnsi="Simplified Arabic" w:cs="Simplified Arabic"/>
          <w:color w:val="777777"/>
          <w:sz w:val="20"/>
          <w:szCs w:val="20"/>
          <w:lang w:val="en-GB" w:eastAsia="en-GB"/>
        </w:rPr>
        <w:t>| info@elqarar.com</w:t>
      </w:r>
      <w:r w:rsidR="00A24CF9" w:rsidRPr="00DA5E51">
        <w:rPr>
          <w:rFonts w:ascii="Simplified Arabic" w:eastAsia="Arial" w:hAnsi="Simplified Arabic" w:cs="Simplified Arabic"/>
          <w:color w:val="777777"/>
          <w:sz w:val="20"/>
          <w:szCs w:val="20"/>
          <w:lang w:val="en-GB" w:eastAsia="en-GB"/>
        </w:rPr>
        <w:t xml:space="preserve"> </w:t>
      </w:r>
      <w:r w:rsidR="008C5113" w:rsidRPr="00DA5E51">
        <w:rPr>
          <w:rFonts w:ascii="Simplified Arabic" w:eastAsia="Arial" w:hAnsi="Simplified Arabic" w:cs="Simplified Arabic"/>
          <w:color w:val="777777"/>
          <w:sz w:val="20"/>
          <w:szCs w:val="20"/>
          <w:lang w:val="en-GB" w:eastAsia="en-GB"/>
        </w:rPr>
        <w:t>| ISSN</w:t>
      </w:r>
      <w:r w:rsidR="0083268F" w:rsidRPr="00DA5E51">
        <w:rPr>
          <w:rFonts w:ascii="Simplified Arabic" w:eastAsia="Arial" w:hAnsi="Simplified Arabic" w:cs="Simplified Arabic"/>
          <w:color w:val="777777"/>
          <w:sz w:val="20"/>
          <w:szCs w:val="20"/>
          <w:lang w:val="en-GB" w:eastAsia="en-GB"/>
        </w:rPr>
        <w:t>: 3006-7294</w:t>
      </w:r>
    </w:p>
    <w:p w14:paraId="3B9EC895" w14:textId="77777777" w:rsidR="00DC78FF" w:rsidRDefault="00DC78FF" w:rsidP="00EB7B95">
      <w:pPr>
        <w:bidi/>
        <w:spacing w:before="120" w:after="120" w:line="240" w:lineRule="auto"/>
        <w:jc w:val="center"/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rtl/>
          <w:lang w:val="en-GB" w:eastAsia="en-GB"/>
        </w:rPr>
      </w:pPr>
    </w:p>
    <w:p w14:paraId="45EA00B1" w14:textId="4124CB79" w:rsidR="0083268F" w:rsidRPr="00D700B2" w:rsidRDefault="003507B8" w:rsidP="00DC78FF">
      <w:pPr>
        <w:bidi/>
        <w:spacing w:before="120" w:after="120" w:line="240" w:lineRule="auto"/>
        <w:jc w:val="center"/>
        <w:rPr>
          <w:rFonts w:ascii="Simplified Arabic" w:eastAsia="Arial" w:hAnsi="Simplified Arabic" w:cs="Simplified Arabic"/>
          <w:b/>
          <w:bCs/>
          <w:color w:val="1B3A6B"/>
          <w:sz w:val="32"/>
          <w:szCs w:val="32"/>
          <w:lang w:val="en-GB" w:eastAsia="en-GB"/>
        </w:rPr>
      </w:pPr>
      <w:r w:rsidRPr="00D700B2">
        <w:rPr>
          <w:rFonts w:ascii="Simplified Arabic" w:eastAsia="Arial" w:hAnsi="Simplified Arabic" w:cs="Simplified Arabic"/>
          <w:b/>
          <w:bCs/>
          <w:color w:val="1B3A6B"/>
          <w:sz w:val="32"/>
          <w:szCs w:val="32"/>
          <w:rtl/>
          <w:lang w:val="en-GB" w:eastAsia="en-GB"/>
        </w:rPr>
        <w:t>بيان</w:t>
      </w:r>
      <w:r w:rsidR="0083268F" w:rsidRPr="00D700B2">
        <w:rPr>
          <w:rFonts w:ascii="Simplified Arabic" w:eastAsia="Arial" w:hAnsi="Simplified Arabic" w:cs="Simplified Arabic"/>
          <w:b/>
          <w:bCs/>
          <w:color w:val="1B3A6B"/>
          <w:sz w:val="32"/>
          <w:szCs w:val="32"/>
          <w:lang w:val="en-GB" w:eastAsia="en-GB"/>
        </w:rPr>
        <w:t xml:space="preserve"> </w:t>
      </w:r>
      <w:r w:rsidR="0083268F" w:rsidRPr="00D700B2">
        <w:rPr>
          <w:rFonts w:ascii="Simplified Arabic" w:eastAsia="Arial" w:hAnsi="Simplified Arabic" w:cs="Simplified Arabic"/>
          <w:b/>
          <w:bCs/>
          <w:color w:val="1B3A6B"/>
          <w:sz w:val="32"/>
          <w:szCs w:val="32"/>
          <w:rtl/>
          <w:lang w:val="en-GB" w:eastAsia="en-GB"/>
        </w:rPr>
        <w:t>تضارب</w:t>
      </w:r>
      <w:r w:rsidR="0083268F" w:rsidRPr="00D700B2">
        <w:rPr>
          <w:rFonts w:ascii="Simplified Arabic" w:eastAsia="Arial" w:hAnsi="Simplified Arabic" w:cs="Simplified Arabic"/>
          <w:b/>
          <w:bCs/>
          <w:color w:val="1B3A6B"/>
          <w:sz w:val="32"/>
          <w:szCs w:val="32"/>
          <w:lang w:val="en-GB" w:eastAsia="en-GB"/>
        </w:rPr>
        <w:t xml:space="preserve"> </w:t>
      </w:r>
      <w:r w:rsidR="0083268F" w:rsidRPr="00D700B2">
        <w:rPr>
          <w:rFonts w:ascii="Simplified Arabic" w:eastAsia="Arial" w:hAnsi="Simplified Arabic" w:cs="Simplified Arabic"/>
          <w:b/>
          <w:bCs/>
          <w:color w:val="1B3A6B"/>
          <w:sz w:val="32"/>
          <w:szCs w:val="32"/>
          <w:rtl/>
          <w:lang w:val="en-GB" w:eastAsia="en-GB"/>
        </w:rPr>
        <w:t>المصالح</w:t>
      </w:r>
      <w:r w:rsidR="0083268F" w:rsidRPr="00D700B2">
        <w:rPr>
          <w:rFonts w:ascii="Simplified Arabic" w:eastAsia="Arial" w:hAnsi="Simplified Arabic" w:cs="Simplified Arabic"/>
          <w:b/>
          <w:bCs/>
          <w:color w:val="1B3A6B"/>
          <w:sz w:val="32"/>
          <w:szCs w:val="32"/>
          <w:lang w:val="en-GB" w:eastAsia="en-GB"/>
        </w:rPr>
        <w:t xml:space="preserve"> </w:t>
      </w:r>
      <w:r w:rsidR="0083268F" w:rsidRPr="00D700B2">
        <w:rPr>
          <w:rFonts w:ascii="Simplified Arabic" w:eastAsia="Arial" w:hAnsi="Simplified Arabic" w:cs="Simplified Arabic"/>
          <w:b/>
          <w:bCs/>
          <w:color w:val="1B3A6B"/>
          <w:sz w:val="32"/>
          <w:szCs w:val="32"/>
          <w:rtl/>
          <w:lang w:val="en-GB" w:eastAsia="en-GB"/>
        </w:rPr>
        <w:t>والتمويل</w:t>
      </w:r>
    </w:p>
    <w:p w14:paraId="3D2951D5" w14:textId="77777777" w:rsidR="0083268F" w:rsidRDefault="0083268F" w:rsidP="00EB7B95">
      <w:pPr>
        <w:bidi/>
        <w:spacing w:before="120" w:after="120" w:line="240" w:lineRule="auto"/>
        <w:jc w:val="center"/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</w:pP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نماذج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للإدراج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في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نموذج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تقديم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البحث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وفي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نص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كل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مقال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منشور</w:t>
      </w:r>
    </w:p>
    <w:p w14:paraId="5ACF6309" w14:textId="77777777" w:rsidR="008C5113" w:rsidRPr="00DA5E51" w:rsidRDefault="008C5113" w:rsidP="008C5113">
      <w:pPr>
        <w:bidi/>
        <w:spacing w:before="120" w:after="120" w:line="240" w:lineRule="auto"/>
        <w:jc w:val="center"/>
        <w:rPr>
          <w:rFonts w:ascii="Simplified Arabic" w:eastAsia="Arial" w:hAnsi="Simplified Arabic" w:cs="Simplified Arabic"/>
          <w:sz w:val="24"/>
          <w:szCs w:val="24"/>
          <w:lang w:val="en-GB" w:eastAsia="en-GB"/>
        </w:rPr>
      </w:pPr>
    </w:p>
    <w:p w14:paraId="75351DD6" w14:textId="756F68A5" w:rsidR="0083268F" w:rsidRPr="00DA5E51" w:rsidRDefault="0083268F" w:rsidP="00BE6411">
      <w:pPr>
        <w:pStyle w:val="ListParagraph"/>
        <w:bidi/>
        <w:spacing w:before="120" w:after="120" w:line="240" w:lineRule="auto"/>
        <w:ind w:left="360"/>
        <w:outlineLvl w:val="0"/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lang w:val="en-GB" w:eastAsia="en-GB"/>
        </w:rPr>
      </w:pPr>
      <w:r w:rsidRPr="00DA5E5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rtl/>
          <w:lang w:val="en-GB" w:eastAsia="en-GB"/>
        </w:rPr>
        <w:t>لماذا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rtl/>
          <w:lang w:val="en-GB" w:eastAsia="en-GB"/>
        </w:rPr>
        <w:t>هذان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lang w:val="en-GB" w:eastAsia="en-GB"/>
        </w:rPr>
        <w:t xml:space="preserve"> </w:t>
      </w:r>
      <w:r w:rsidR="0066089D" w:rsidRPr="00DA5E5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rtl/>
          <w:lang w:val="en-GB" w:eastAsia="en-GB"/>
        </w:rPr>
        <w:t>البيانان</w:t>
      </w:r>
      <w:r w:rsidR="0066089D" w:rsidRPr="00DA5E5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lang w:val="en-GB" w:eastAsia="en-GB"/>
        </w:rPr>
        <w:t xml:space="preserve"> </w:t>
      </w:r>
      <w:r w:rsidR="0066089D" w:rsidRPr="00DA5E5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rtl/>
          <w:lang w:val="en-GB" w:eastAsia="en-GB"/>
        </w:rPr>
        <w:t>إلزاميين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rtl/>
          <w:lang w:val="en-GB" w:eastAsia="en-GB"/>
        </w:rPr>
        <w:t>؟</w:t>
      </w:r>
    </w:p>
    <w:p w14:paraId="11C68332" w14:textId="0D2518EC" w:rsidR="0083268F" w:rsidRDefault="0083268F" w:rsidP="00EB7B95">
      <w:pPr>
        <w:pStyle w:val="ListParagraph"/>
        <w:bidi/>
        <w:spacing w:before="120" w:after="120" w:line="240" w:lineRule="auto"/>
        <w:jc w:val="both"/>
        <w:outlineLvl w:val="0"/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</w:pP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تشترط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لجنة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أخلاقيات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النشر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(COPE)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يظهر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في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كل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مقال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منشور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بيانان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مستقلان</w:t>
      </w:r>
      <w:r w:rsidR="00A24CF9">
        <w:rPr>
          <w:rFonts w:ascii="Simplified Arabic" w:eastAsia="Arial" w:hAnsi="Simplified Arabic" w:cs="Simplified Arabic" w:hint="cs"/>
          <w:sz w:val="24"/>
          <w:szCs w:val="24"/>
          <w:rtl/>
          <w:lang w:val="en-GB" w:eastAsia="en-GB"/>
        </w:rPr>
        <w:t xml:space="preserve">: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بيان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تضارب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المصالح،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وبيان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مصادر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التمويل،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بصرف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النظر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عن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وجود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تضارب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أو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تمويل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الأساس</w:t>
      </w:r>
      <w:r w:rsidR="00565A06">
        <w:rPr>
          <w:rFonts w:ascii="Simplified Arabic" w:eastAsia="Arial" w:hAnsi="Simplified Arabic" w:cs="Simplified Arabic" w:hint="cs"/>
          <w:sz w:val="24"/>
          <w:szCs w:val="24"/>
          <w:rtl/>
          <w:lang w:val="en-GB" w:eastAsia="en-GB"/>
        </w:rPr>
        <w:t xml:space="preserve">. 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لهدف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هو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الشفافية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الكاملة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تجاه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القارئ،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وليس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فقط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الإفصاح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عند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وجود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مشكلة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>.</w:t>
      </w:r>
    </w:p>
    <w:p w14:paraId="704FFB58" w14:textId="77777777" w:rsidR="00BE6411" w:rsidRPr="00BE6411" w:rsidRDefault="00BE6411" w:rsidP="00BE6411">
      <w:pPr>
        <w:bidi/>
        <w:spacing w:before="120" w:after="120" w:line="240" w:lineRule="auto"/>
        <w:jc w:val="both"/>
        <w:outlineLvl w:val="0"/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</w:pPr>
    </w:p>
    <w:p w14:paraId="07A3D096" w14:textId="2BB98582" w:rsidR="0083268F" w:rsidRPr="00DA5E51" w:rsidRDefault="0083268F" w:rsidP="00BE6411">
      <w:pPr>
        <w:pStyle w:val="ListParagraph"/>
        <w:bidi/>
        <w:spacing w:before="120" w:after="120" w:line="240" w:lineRule="auto"/>
        <w:ind w:left="360"/>
        <w:jc w:val="center"/>
        <w:outlineLvl w:val="0"/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lang w:val="en-GB" w:eastAsia="en-GB"/>
        </w:rPr>
      </w:pPr>
      <w:r w:rsidRPr="00DA5E5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rtl/>
          <w:lang w:val="en-GB" w:eastAsia="en-GB"/>
        </w:rPr>
        <w:t>بيان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rtl/>
          <w:lang w:val="en-GB" w:eastAsia="en-GB"/>
        </w:rPr>
        <w:t>تضارب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lang w:val="en-GB" w:eastAsia="en-GB"/>
        </w:rPr>
        <w:t xml:space="preserve"> </w:t>
      </w:r>
      <w:r w:rsidR="00284D82" w:rsidRPr="00DA5E51">
        <w:rPr>
          <w:rFonts w:ascii="Simplified Arabic" w:eastAsia="Arial" w:hAnsi="Simplified Arabic" w:cs="Simplified Arabic" w:hint="cs"/>
          <w:b/>
          <w:bCs/>
          <w:color w:val="1B3A6B"/>
          <w:sz w:val="30"/>
          <w:szCs w:val="30"/>
          <w:rtl/>
          <w:lang w:val="en-GB" w:eastAsia="en-GB"/>
        </w:rPr>
        <w:t>المصالح</w:t>
      </w:r>
      <w:r w:rsidR="00284D82">
        <w:rPr>
          <w:rFonts w:ascii="Simplified Arabic" w:eastAsia="Arial" w:hAnsi="Simplified Arabic" w:cs="Simplified Arabic" w:hint="cs"/>
          <w:b/>
          <w:bCs/>
          <w:color w:val="1B3A6B"/>
          <w:sz w:val="30"/>
          <w:szCs w:val="30"/>
          <w:rtl/>
          <w:lang w:val="en-GB" w:eastAsia="en-GB"/>
        </w:rPr>
        <w:t xml:space="preserve"> </w:t>
      </w:r>
      <w:r w:rsidR="00284D82" w:rsidRPr="00DA5E5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lang w:val="en-GB" w:eastAsia="en-GB"/>
        </w:rPr>
        <w:t>(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lang w:val="en-GB" w:eastAsia="en-GB"/>
        </w:rPr>
        <w:t>Conflict of Interest)</w:t>
      </w:r>
    </w:p>
    <w:p w14:paraId="3285BF8B" w14:textId="77777777" w:rsidR="003121C9" w:rsidRPr="00DA5E51" w:rsidRDefault="0083268F" w:rsidP="00EB7B95">
      <w:pPr>
        <w:pStyle w:val="ListParagraph"/>
        <w:bidi/>
        <w:spacing w:before="120" w:after="120" w:line="240" w:lineRule="auto"/>
        <w:ind w:left="1080"/>
        <w:jc w:val="both"/>
        <w:outlineLvl w:val="0"/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</w:pP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التعريف</w:t>
      </w:r>
    </w:p>
    <w:p w14:paraId="5012020D" w14:textId="77777777" w:rsidR="003121C9" w:rsidRPr="00DA5E51" w:rsidRDefault="0083268F" w:rsidP="00EB7B95">
      <w:pPr>
        <w:pStyle w:val="ListParagraph"/>
        <w:bidi/>
        <w:spacing w:before="120" w:after="120" w:line="240" w:lineRule="auto"/>
        <w:ind w:left="1080"/>
        <w:jc w:val="both"/>
        <w:outlineLvl w:val="0"/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</w:pP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تضارب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المصالح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هو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أي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علاقة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مالية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أو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شخصية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أو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مؤسسية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يمكن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تؤثر،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أو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يُنظر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إليها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على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أنها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تؤثر،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على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نتائج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البحث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أو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تفسيرها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بشكل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غير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موضوعي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>.</w:t>
      </w:r>
    </w:p>
    <w:p w14:paraId="5DE57C4C" w14:textId="77777777" w:rsidR="0083268F" w:rsidRPr="00DA5E51" w:rsidRDefault="0083268F" w:rsidP="00EB7B95">
      <w:pPr>
        <w:pStyle w:val="ListParagraph"/>
        <w:bidi/>
        <w:spacing w:before="120" w:after="120" w:line="240" w:lineRule="auto"/>
        <w:ind w:left="1080"/>
        <w:jc w:val="both"/>
        <w:outlineLvl w:val="0"/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</w:pP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أمثلة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على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ما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يجب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الإفصاح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عنه</w:t>
      </w:r>
    </w:p>
    <w:p w14:paraId="47DE45B4" w14:textId="77777777" w:rsidR="0083268F" w:rsidRPr="00DA5E51" w:rsidRDefault="0083268F" w:rsidP="00EB7B95">
      <w:pPr>
        <w:numPr>
          <w:ilvl w:val="0"/>
          <w:numId w:val="1"/>
        </w:numPr>
        <w:bidi/>
        <w:spacing w:before="120" w:after="120" w:line="240" w:lineRule="auto"/>
        <w:jc w:val="both"/>
        <w:rPr>
          <w:rFonts w:ascii="Simplified Arabic" w:eastAsia="Arial" w:hAnsi="Simplified Arabic" w:cs="Simplified Arabic"/>
          <w:sz w:val="24"/>
          <w:szCs w:val="24"/>
          <w:lang w:val="en-GB" w:eastAsia="en-GB"/>
        </w:rPr>
      </w:pP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علاقة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عمل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أو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استشارة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مع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شركة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لها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مصلحة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في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نتائج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البحث</w:t>
      </w:r>
    </w:p>
    <w:p w14:paraId="3524D8EB" w14:textId="77777777" w:rsidR="0083268F" w:rsidRPr="00DA5E51" w:rsidRDefault="0083268F" w:rsidP="00EB7B95">
      <w:pPr>
        <w:numPr>
          <w:ilvl w:val="0"/>
          <w:numId w:val="1"/>
        </w:numPr>
        <w:bidi/>
        <w:spacing w:before="120" w:after="120" w:line="240" w:lineRule="auto"/>
        <w:jc w:val="both"/>
        <w:rPr>
          <w:rFonts w:ascii="Simplified Arabic" w:eastAsia="Arial" w:hAnsi="Simplified Arabic" w:cs="Simplified Arabic"/>
          <w:sz w:val="24"/>
          <w:szCs w:val="24"/>
          <w:lang w:val="en-GB" w:eastAsia="en-GB"/>
        </w:rPr>
      </w:pP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ملكية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أسهم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أو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حصص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في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كيان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ذو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صلة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بموضوع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البحث</w:t>
      </w:r>
    </w:p>
    <w:p w14:paraId="61A270A2" w14:textId="77777777" w:rsidR="0083268F" w:rsidRPr="00DA5E51" w:rsidRDefault="0083268F" w:rsidP="00EB7B95">
      <w:pPr>
        <w:numPr>
          <w:ilvl w:val="0"/>
          <w:numId w:val="1"/>
        </w:numPr>
        <w:bidi/>
        <w:spacing w:before="120" w:after="120" w:line="240" w:lineRule="auto"/>
        <w:jc w:val="both"/>
        <w:rPr>
          <w:rFonts w:ascii="Simplified Arabic" w:eastAsia="Arial" w:hAnsi="Simplified Arabic" w:cs="Simplified Arabic"/>
          <w:sz w:val="24"/>
          <w:szCs w:val="24"/>
          <w:lang w:val="en-GB" w:eastAsia="en-GB"/>
        </w:rPr>
      </w:pP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منح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أو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رسوم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محاضرات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جهة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قد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تستفيد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نتائج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الدراسة</w:t>
      </w:r>
    </w:p>
    <w:p w14:paraId="2FC7D8B6" w14:textId="77777777" w:rsidR="0083268F" w:rsidRPr="00DA5E51" w:rsidRDefault="0083268F" w:rsidP="00EB7B95">
      <w:pPr>
        <w:numPr>
          <w:ilvl w:val="0"/>
          <w:numId w:val="1"/>
        </w:numPr>
        <w:bidi/>
        <w:spacing w:before="120" w:after="120" w:line="240" w:lineRule="auto"/>
        <w:jc w:val="both"/>
        <w:rPr>
          <w:rFonts w:ascii="Simplified Arabic" w:eastAsia="Arial" w:hAnsi="Simplified Arabic" w:cs="Simplified Arabic"/>
          <w:sz w:val="24"/>
          <w:szCs w:val="24"/>
          <w:lang w:val="en-GB" w:eastAsia="en-GB"/>
        </w:rPr>
      </w:pP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علاقة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شخصية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أو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عائلية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مع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أحد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المحررين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أو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المحكمين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القائمين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على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تقييم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البحث</w:t>
      </w:r>
    </w:p>
    <w:p w14:paraId="20D17A23" w14:textId="77777777" w:rsidR="0083268F" w:rsidRPr="00DA5E51" w:rsidRDefault="0083268F" w:rsidP="00EB7B95">
      <w:pPr>
        <w:numPr>
          <w:ilvl w:val="0"/>
          <w:numId w:val="1"/>
        </w:numPr>
        <w:bidi/>
        <w:spacing w:before="120" w:after="120" w:line="240" w:lineRule="auto"/>
        <w:jc w:val="both"/>
        <w:rPr>
          <w:rFonts w:ascii="Simplified Arabic" w:eastAsia="Arial" w:hAnsi="Simplified Arabic" w:cs="Simplified Arabic"/>
          <w:sz w:val="24"/>
          <w:szCs w:val="24"/>
          <w:lang w:val="en-GB" w:eastAsia="en-GB"/>
        </w:rPr>
      </w:pP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عضوية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في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هيئة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استشارية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لجهة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ذات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صلة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بالموضوع</w:t>
      </w:r>
    </w:p>
    <w:p w14:paraId="1F475726" w14:textId="77777777" w:rsidR="0083268F" w:rsidRPr="00DA5E51" w:rsidRDefault="0083268F" w:rsidP="00EB7B95">
      <w:pPr>
        <w:bidi/>
        <w:spacing w:before="120" w:after="120" w:line="240" w:lineRule="auto"/>
        <w:outlineLvl w:val="1"/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</w:pP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نموذج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البيان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—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في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حال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وجود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تضارب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مصالح</w:t>
      </w:r>
    </w:p>
    <w:p w14:paraId="4AF5619A" w14:textId="77777777" w:rsidR="00EB7B95" w:rsidRPr="00A24CF9" w:rsidRDefault="0083268F" w:rsidP="00EB7B95">
      <w:pPr>
        <w:pBdr>
          <w:top w:val="single" w:sz="2" w:space="0" w:color="AAAAAA"/>
          <w:left w:val="single" w:sz="12" w:space="0" w:color="1B3A6B"/>
          <w:bottom w:val="single" w:sz="2" w:space="0" w:color="AAAAAA"/>
          <w:right w:val="single" w:sz="2" w:space="0" w:color="AAAAAA"/>
        </w:pBdr>
        <w:bidi/>
        <w:spacing w:before="120" w:after="120" w:line="240" w:lineRule="auto"/>
        <w:ind w:left="500" w:right="500"/>
        <w:jc w:val="both"/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</w:pPr>
      <w:r w:rsidRPr="00A24CF9">
        <w:rPr>
          <w:rFonts w:ascii="Simplified Arabic" w:eastAsia="Arial" w:hAnsi="Simplified Arabic" w:cs="Simplified Arabic"/>
          <w:b/>
          <w:bCs/>
          <w:sz w:val="24"/>
          <w:szCs w:val="24"/>
          <w:lang w:val="en-GB" w:eastAsia="en-GB"/>
        </w:rPr>
        <w:t>"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يُصرّح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المؤلف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>/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المؤلفون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بوجود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تضارب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مصالح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محتمل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يتمثل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في</w:t>
      </w:r>
      <w:r w:rsidR="00EB7B95" w:rsidRPr="00A24CF9">
        <w:rPr>
          <w:rFonts w:ascii="Simplified Arabic" w:eastAsia="Arial" w:hAnsi="Simplified Arabic" w:cs="Simplified Arabic" w:hint="cs"/>
          <w:i/>
          <w:iCs/>
          <w:sz w:val="24"/>
          <w:szCs w:val="24"/>
          <w:rtl/>
          <w:lang w:val="en-GB" w:eastAsia="en-GB"/>
        </w:rPr>
        <w:t>:</w:t>
      </w:r>
    </w:p>
    <w:p w14:paraId="0EE71CC2" w14:textId="3CE54107" w:rsidR="0083268F" w:rsidRPr="00A24CF9" w:rsidRDefault="0083268F" w:rsidP="00284D82">
      <w:pPr>
        <w:pBdr>
          <w:top w:val="single" w:sz="2" w:space="0" w:color="AAAAAA"/>
          <w:left w:val="single" w:sz="12" w:space="0" w:color="1B3A6B"/>
          <w:bottom w:val="single" w:sz="2" w:space="0" w:color="AAAAAA"/>
          <w:right w:val="single" w:sz="2" w:space="0" w:color="AAAAAA"/>
        </w:pBdr>
        <w:bidi/>
        <w:spacing w:before="120" w:after="120" w:line="240" w:lineRule="auto"/>
        <w:ind w:left="500" w:right="500"/>
        <w:jc w:val="both"/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</w:pP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وصف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العلاقة،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="00C05E7B" w:rsidRPr="00A24CF9">
        <w:rPr>
          <w:rFonts w:ascii="Simplified Arabic" w:eastAsia="Arial" w:hAnsi="Simplified Arabic" w:cs="Simplified Arabic" w:hint="cs"/>
          <w:i/>
          <w:iCs/>
          <w:sz w:val="24"/>
          <w:szCs w:val="24"/>
          <w:rtl/>
          <w:lang w:val="en-GB" w:eastAsia="en-GB"/>
        </w:rPr>
        <w:t>مثل</w:t>
      </w:r>
      <w:r w:rsidR="00C05E7B" w:rsidRPr="00A24CF9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>:</w:t>
      </w:r>
      <w:r w:rsidR="00C05E7B" w:rsidRPr="00A24CF9">
        <w:rPr>
          <w:rFonts w:ascii="Simplified Arabic" w:eastAsia="Arial" w:hAnsi="Simplified Arabic" w:cs="Simplified Arabic" w:hint="cs"/>
          <w:i/>
          <w:iCs/>
          <w:sz w:val="24"/>
          <w:szCs w:val="24"/>
          <w:rtl/>
          <w:lang w:val="en-GB" w:eastAsia="en-GB"/>
        </w:rPr>
        <w:t xml:space="preserve"> (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تلقي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تمويل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بحثي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من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الشركة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(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س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) 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ذات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الصلة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بموضوع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A24CF9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الدراسة</w:t>
      </w:r>
      <w:r w:rsidR="00284D82" w:rsidRPr="00A24CF9">
        <w:rPr>
          <w:rFonts w:ascii="Simplified Arabic" w:eastAsia="Arial" w:hAnsi="Simplified Arabic" w:cs="Simplified Arabic" w:hint="cs"/>
          <w:i/>
          <w:iCs/>
          <w:sz w:val="24"/>
          <w:szCs w:val="24"/>
          <w:rtl/>
          <w:lang w:val="en-GB" w:eastAsia="en-GB"/>
        </w:rPr>
        <w:t>).</w:t>
      </w:r>
    </w:p>
    <w:p w14:paraId="5346EAAF" w14:textId="77777777" w:rsidR="0083268F" w:rsidRPr="00DA5E51" w:rsidRDefault="0083268F" w:rsidP="00EB7B95">
      <w:pPr>
        <w:bidi/>
        <w:spacing w:before="120" w:after="120" w:line="240" w:lineRule="auto"/>
        <w:outlineLvl w:val="1"/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</w:pP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نموذج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البيان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—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في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حال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عدم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وجود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تضارب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مصالح</w:t>
      </w:r>
    </w:p>
    <w:p w14:paraId="62A61BDB" w14:textId="77777777" w:rsidR="0083268F" w:rsidRPr="00C05E7B" w:rsidRDefault="0083268F" w:rsidP="00EB7B95">
      <w:pPr>
        <w:pBdr>
          <w:top w:val="single" w:sz="2" w:space="0" w:color="AAAAAA"/>
          <w:left w:val="single" w:sz="12" w:space="0" w:color="1B3A6B"/>
          <w:bottom w:val="single" w:sz="2" w:space="0" w:color="AAAAAA"/>
          <w:right w:val="single" w:sz="2" w:space="0" w:color="AAAAAA"/>
        </w:pBdr>
        <w:bidi/>
        <w:spacing w:before="120" w:after="120" w:line="240" w:lineRule="auto"/>
        <w:ind w:left="500" w:right="500"/>
        <w:jc w:val="both"/>
        <w:rPr>
          <w:rFonts w:ascii="Simplified Arabic" w:eastAsia="Arial" w:hAnsi="Simplified Arabic" w:cs="Simplified Arabic"/>
          <w:sz w:val="24"/>
          <w:szCs w:val="24"/>
          <w:lang w:val="en-GB" w:eastAsia="en-GB"/>
        </w:rPr>
      </w:pPr>
      <w:r w:rsidRPr="00C05E7B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>"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يُصرّح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المؤلف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>/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المؤلفون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بعدم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وجود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أي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تضارب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مصالح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يتعلق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بنشر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هذا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البحث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>."</w:t>
      </w:r>
    </w:p>
    <w:p w14:paraId="19878A0F" w14:textId="06F74285" w:rsidR="0083268F" w:rsidRDefault="0083268F" w:rsidP="00BE6411">
      <w:pPr>
        <w:bidi/>
        <w:spacing w:before="120" w:after="120" w:line="240" w:lineRule="auto"/>
        <w:jc w:val="center"/>
        <w:outlineLvl w:val="0"/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rtl/>
          <w:lang w:val="en-GB" w:eastAsia="en-GB"/>
        </w:rPr>
      </w:pPr>
      <w:r w:rsidRPr="00BE641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rtl/>
          <w:lang w:val="en-GB" w:eastAsia="en-GB"/>
        </w:rPr>
        <w:lastRenderedPageBreak/>
        <w:t>بيان</w:t>
      </w:r>
      <w:r w:rsidRPr="00BE641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lang w:val="en-GB" w:eastAsia="en-GB"/>
        </w:rPr>
        <w:t xml:space="preserve"> </w:t>
      </w:r>
      <w:r w:rsidRPr="00BE641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rtl/>
          <w:lang w:val="en-GB" w:eastAsia="en-GB"/>
        </w:rPr>
        <w:t>مصادر</w:t>
      </w:r>
      <w:r w:rsidRPr="00BE641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lang w:val="en-GB" w:eastAsia="en-GB"/>
        </w:rPr>
        <w:t xml:space="preserve"> </w:t>
      </w:r>
      <w:r w:rsidR="00284D82" w:rsidRPr="00BE6411">
        <w:rPr>
          <w:rFonts w:ascii="Simplified Arabic" w:eastAsia="Arial" w:hAnsi="Simplified Arabic" w:cs="Simplified Arabic" w:hint="cs"/>
          <w:b/>
          <w:bCs/>
          <w:color w:val="1B3A6B"/>
          <w:sz w:val="30"/>
          <w:szCs w:val="30"/>
          <w:rtl/>
          <w:lang w:val="en-GB" w:eastAsia="en-GB"/>
        </w:rPr>
        <w:t xml:space="preserve">التمويل </w:t>
      </w:r>
      <w:r w:rsidR="00284D82" w:rsidRPr="00BE641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lang w:val="en-GB" w:eastAsia="en-GB"/>
        </w:rPr>
        <w:t>(</w:t>
      </w:r>
      <w:r w:rsidRPr="00BE641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lang w:val="en-GB" w:eastAsia="en-GB"/>
        </w:rPr>
        <w:t>Funding Statement)</w:t>
      </w:r>
    </w:p>
    <w:p w14:paraId="0FDCAB84" w14:textId="77777777" w:rsidR="00BE6411" w:rsidRPr="00BE6411" w:rsidRDefault="00BE6411" w:rsidP="00BE6411">
      <w:pPr>
        <w:bidi/>
        <w:spacing w:before="120" w:after="120" w:line="240" w:lineRule="auto"/>
        <w:jc w:val="center"/>
        <w:outlineLvl w:val="0"/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lang w:val="en-GB" w:eastAsia="en-GB"/>
        </w:rPr>
      </w:pPr>
    </w:p>
    <w:p w14:paraId="7FC831B2" w14:textId="77777777" w:rsidR="0083268F" w:rsidRPr="00DA5E51" w:rsidRDefault="0083268F" w:rsidP="00EB7B95">
      <w:pPr>
        <w:bidi/>
        <w:spacing w:before="120" w:after="120" w:line="240" w:lineRule="auto"/>
        <w:outlineLvl w:val="1"/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</w:pP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التعريف</w:t>
      </w:r>
    </w:p>
    <w:p w14:paraId="3E27681C" w14:textId="77777777" w:rsidR="003121C9" w:rsidRPr="00284D82" w:rsidRDefault="0083268F" w:rsidP="00EB7B95">
      <w:pPr>
        <w:bidi/>
        <w:spacing w:before="120" w:after="120" w:line="240" w:lineRule="auto"/>
        <w:jc w:val="both"/>
        <w:rPr>
          <w:rFonts w:ascii="Simplified Arabic" w:eastAsia="Arial" w:hAnsi="Simplified Arabic" w:cs="Simplified Arabic"/>
          <w:sz w:val="24"/>
          <w:szCs w:val="24"/>
          <w:lang w:val="en-GB" w:eastAsia="en-GB"/>
        </w:rPr>
      </w:pP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بيان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التمويل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هو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إفصاح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واضح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عن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أي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دعم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مالي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حصلت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عليه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الدراسة،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سواء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من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مؤسسات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حكومية،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="003121C9"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 xml:space="preserve">أو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جامعات،</w:t>
      </w:r>
      <w:r w:rsidR="003121C9"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 xml:space="preserve"> أو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شركات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خاصة،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="003121C9"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 xml:space="preserve">أو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منح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بحثية،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أو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جهات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تمويل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أخرى</w:t>
      </w:r>
      <w:r w:rsidRPr="00284D8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>.</w:t>
      </w:r>
      <w:r w:rsidR="003121C9" w:rsidRPr="00284D8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 xml:space="preserve"> </w:t>
      </w:r>
    </w:p>
    <w:p w14:paraId="08D1C9F9" w14:textId="77777777" w:rsidR="0083268F" w:rsidRPr="00DA5E51" w:rsidRDefault="0083268F" w:rsidP="00EB7B95">
      <w:pPr>
        <w:bidi/>
        <w:spacing w:before="120" w:after="120" w:line="240" w:lineRule="auto"/>
        <w:outlineLvl w:val="1"/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</w:pP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العناصر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التي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يجب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ذكرها</w:t>
      </w:r>
    </w:p>
    <w:p w14:paraId="733E1A17" w14:textId="010576D8" w:rsidR="0083268F" w:rsidRPr="00DA5E51" w:rsidRDefault="0083268F" w:rsidP="00EB7B95">
      <w:pPr>
        <w:numPr>
          <w:ilvl w:val="0"/>
          <w:numId w:val="1"/>
        </w:numPr>
        <w:bidi/>
        <w:spacing w:before="120" w:after="120" w:line="240" w:lineRule="auto"/>
        <w:rPr>
          <w:rFonts w:ascii="Simplified Arabic" w:eastAsia="Arial" w:hAnsi="Simplified Arabic" w:cs="Simplified Arabic"/>
          <w:sz w:val="24"/>
          <w:szCs w:val="24"/>
          <w:lang w:val="en-GB" w:eastAsia="en-GB"/>
        </w:rPr>
      </w:pP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اسم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الجهة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الممنوحة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="000D66B2" w:rsidRPr="00DA5E51">
        <w:rPr>
          <w:rFonts w:ascii="Simplified Arabic" w:eastAsia="Arial" w:hAnsi="Simplified Arabic" w:cs="Simplified Arabic" w:hint="cs"/>
          <w:sz w:val="24"/>
          <w:szCs w:val="24"/>
          <w:rtl/>
          <w:lang w:val="en-GB" w:eastAsia="en-GB"/>
        </w:rPr>
        <w:t>للتمويل</w:t>
      </w:r>
      <w:r w:rsidR="000D66B2">
        <w:rPr>
          <w:rFonts w:ascii="Simplified Arabic" w:eastAsia="Arial" w:hAnsi="Simplified Arabic" w:cs="Simplified Arabic" w:hint="cs"/>
          <w:sz w:val="24"/>
          <w:szCs w:val="24"/>
          <w:rtl/>
          <w:lang w:val="en-GB" w:eastAsia="en-GB"/>
        </w:rPr>
        <w:t xml:space="preserve"> </w:t>
      </w:r>
      <w:r w:rsidR="000D66B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(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إن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وُجدت</w:t>
      </w:r>
      <w:r w:rsidR="000D66B2">
        <w:rPr>
          <w:rFonts w:ascii="Simplified Arabic" w:eastAsia="Arial" w:hAnsi="Simplified Arabic" w:cs="Simplified Arabic" w:hint="cs"/>
          <w:sz w:val="24"/>
          <w:szCs w:val="24"/>
          <w:rtl/>
          <w:lang w:val="en-GB" w:eastAsia="en-GB"/>
        </w:rPr>
        <w:t>)</w:t>
      </w:r>
    </w:p>
    <w:p w14:paraId="307BCCE2" w14:textId="20607900" w:rsidR="0083268F" w:rsidRPr="00DA5E51" w:rsidRDefault="0083268F" w:rsidP="00EB7B95">
      <w:pPr>
        <w:numPr>
          <w:ilvl w:val="0"/>
          <w:numId w:val="1"/>
        </w:numPr>
        <w:bidi/>
        <w:spacing w:before="120" w:after="120" w:line="240" w:lineRule="auto"/>
        <w:rPr>
          <w:rFonts w:ascii="Simplified Arabic" w:eastAsia="Arial" w:hAnsi="Simplified Arabic" w:cs="Simplified Arabic"/>
          <w:sz w:val="24"/>
          <w:szCs w:val="24"/>
          <w:lang w:val="en-GB" w:eastAsia="en-GB"/>
        </w:rPr>
      </w:pP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رقم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المنحة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أو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المشروع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="000D66B2" w:rsidRPr="00DA5E51">
        <w:rPr>
          <w:rFonts w:ascii="Simplified Arabic" w:eastAsia="Arial" w:hAnsi="Simplified Arabic" w:cs="Simplified Arabic" w:hint="cs"/>
          <w:sz w:val="24"/>
          <w:szCs w:val="24"/>
          <w:rtl/>
          <w:lang w:val="en-GB" w:eastAsia="en-GB"/>
        </w:rPr>
        <w:t>البحثي</w:t>
      </w:r>
      <w:r w:rsidR="000D66B2">
        <w:rPr>
          <w:rFonts w:ascii="Simplified Arabic" w:eastAsia="Arial" w:hAnsi="Simplified Arabic" w:cs="Simplified Arabic" w:hint="cs"/>
          <w:sz w:val="24"/>
          <w:szCs w:val="24"/>
          <w:rtl/>
          <w:lang w:val="en-GB" w:eastAsia="en-GB"/>
        </w:rPr>
        <w:t xml:space="preserve"> </w:t>
      </w:r>
      <w:r w:rsidR="000D66B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(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إن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وُجد</w:t>
      </w:r>
      <w:r w:rsidR="000D66B2">
        <w:rPr>
          <w:rFonts w:ascii="Simplified Arabic" w:eastAsia="Arial" w:hAnsi="Simplified Arabic" w:cs="Simplified Arabic" w:hint="cs"/>
          <w:sz w:val="24"/>
          <w:szCs w:val="24"/>
          <w:rtl/>
          <w:lang w:val="en-GB" w:eastAsia="en-GB"/>
        </w:rPr>
        <w:t>)</w:t>
      </w:r>
    </w:p>
    <w:p w14:paraId="186FBC91" w14:textId="2E473CD2" w:rsidR="0083268F" w:rsidRPr="00DA5E51" w:rsidRDefault="0083268F" w:rsidP="00EB7B95">
      <w:pPr>
        <w:numPr>
          <w:ilvl w:val="0"/>
          <w:numId w:val="1"/>
        </w:numPr>
        <w:bidi/>
        <w:spacing w:before="120" w:after="120" w:line="240" w:lineRule="auto"/>
        <w:rPr>
          <w:rFonts w:ascii="Simplified Arabic" w:eastAsia="Arial" w:hAnsi="Simplified Arabic" w:cs="Simplified Arabic"/>
          <w:sz w:val="24"/>
          <w:szCs w:val="24"/>
          <w:lang w:val="en-GB" w:eastAsia="en-GB"/>
        </w:rPr>
      </w:pP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دور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الجهة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الممولة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في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0D66B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تصميم</w:t>
      </w:r>
      <w:r w:rsidRPr="000D66B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0D66B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الدراسة،</w:t>
      </w:r>
      <w:r w:rsidRPr="000D66B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="003121C9" w:rsidRPr="000D66B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 xml:space="preserve">أو </w:t>
      </w:r>
      <w:r w:rsidRPr="000D66B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جمع</w:t>
      </w:r>
      <w:r w:rsidRPr="000D66B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="00DA5E51" w:rsidRPr="000D66B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البيانات،</w:t>
      </w:r>
      <w:r w:rsidR="00DA5E51" w:rsidRPr="000D66B2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="00DA5E51" w:rsidRPr="000D66B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أو</w:t>
      </w:r>
      <w:r w:rsidR="003121C9" w:rsidRPr="000D66B2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التحليل،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أو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اتخاذ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القرار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بالنشر</w:t>
      </w:r>
    </w:p>
    <w:p w14:paraId="2491E80C" w14:textId="77777777" w:rsidR="0083268F" w:rsidRPr="00DA5E51" w:rsidRDefault="0083268F" w:rsidP="00EB7B95">
      <w:pPr>
        <w:bidi/>
        <w:spacing w:before="120" w:after="120" w:line="240" w:lineRule="auto"/>
        <w:outlineLvl w:val="1"/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</w:pP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نموذج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البيان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—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في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حال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وجود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تمويل</w:t>
      </w:r>
    </w:p>
    <w:p w14:paraId="0C7FD254" w14:textId="37A1027A" w:rsidR="0083268F" w:rsidRPr="0091797E" w:rsidRDefault="0083268F" w:rsidP="00EB7B95">
      <w:pPr>
        <w:pBdr>
          <w:top w:val="single" w:sz="2" w:space="0" w:color="AAAAAA"/>
          <w:left w:val="single" w:sz="12" w:space="0" w:color="1B3A6B"/>
          <w:bottom w:val="single" w:sz="2" w:space="0" w:color="AAAAAA"/>
          <w:right w:val="single" w:sz="2" w:space="0" w:color="AAAAAA"/>
        </w:pBdr>
        <w:bidi/>
        <w:spacing w:before="120" w:after="120" w:line="240" w:lineRule="auto"/>
        <w:ind w:left="500" w:right="500"/>
        <w:jc w:val="both"/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</w:pPr>
      <w:r w:rsidRPr="00C05E7B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>"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حصلت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هذه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الدراسة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على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تمويل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="0091797E" w:rsidRPr="0091797E">
        <w:rPr>
          <w:rFonts w:ascii="Simplified Arabic" w:eastAsia="Arial" w:hAnsi="Simplified Arabic" w:cs="Simplified Arabic" w:hint="cs"/>
          <w:i/>
          <w:iCs/>
          <w:sz w:val="24"/>
          <w:szCs w:val="24"/>
          <w:rtl/>
          <w:lang w:val="en-GB" w:eastAsia="en-GB"/>
        </w:rPr>
        <w:t xml:space="preserve">من </w:t>
      </w:r>
      <w:r w:rsidR="0091797E"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(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اسم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الجهة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الممولة</w:t>
      </w:r>
      <w:r w:rsidR="00D10555" w:rsidRPr="0091797E">
        <w:rPr>
          <w:rFonts w:ascii="Simplified Arabic" w:eastAsia="Arial" w:hAnsi="Simplified Arabic" w:cs="Simplified Arabic" w:hint="cs"/>
          <w:i/>
          <w:iCs/>
          <w:sz w:val="24"/>
          <w:szCs w:val="24"/>
          <w:rtl/>
          <w:lang w:val="en-GB" w:eastAsia="en-GB"/>
        </w:rPr>
        <w:t xml:space="preserve">،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رقم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المنحة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: </w:t>
      </w:r>
      <w:r w:rsidR="0091797E" w:rsidRPr="0091797E">
        <w:rPr>
          <w:rFonts w:ascii="Simplified Arabic" w:eastAsia="Arial" w:hAnsi="Simplified Arabic" w:cs="Simplified Arabic" w:hint="cs"/>
          <w:i/>
          <w:iCs/>
          <w:sz w:val="24"/>
          <w:szCs w:val="24"/>
          <w:rtl/>
          <w:lang w:val="en-GB" w:eastAsia="en-GB"/>
        </w:rPr>
        <w:t>(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الرقم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إن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وُجد</w:t>
      </w:r>
      <w:r w:rsidR="00D10555" w:rsidRPr="0091797E">
        <w:rPr>
          <w:rFonts w:ascii="Simplified Arabic" w:eastAsia="Arial" w:hAnsi="Simplified Arabic" w:cs="Simplified Arabic" w:hint="cs"/>
          <w:i/>
          <w:iCs/>
          <w:sz w:val="24"/>
          <w:szCs w:val="24"/>
          <w:rtl/>
          <w:lang w:val="en-GB" w:eastAsia="en-GB"/>
        </w:rPr>
        <w:t>)</w:t>
      </w:r>
      <w:r w:rsidR="0091797E" w:rsidRPr="0091797E">
        <w:rPr>
          <w:rFonts w:ascii="Simplified Arabic" w:eastAsia="Arial" w:hAnsi="Simplified Arabic" w:cs="Simplified Arabic" w:hint="cs"/>
          <w:i/>
          <w:iCs/>
          <w:sz w:val="24"/>
          <w:szCs w:val="24"/>
          <w:rtl/>
          <w:lang w:val="en-GB" w:eastAsia="en-GB"/>
        </w:rPr>
        <w:t>. ل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م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يكن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للجهة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الممولة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أي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دور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في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تصميم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الدراسة</w:t>
      </w:r>
      <w:r w:rsidR="003121C9" w:rsidRPr="0091797E">
        <w:rPr>
          <w:rFonts w:ascii="Simplified Arabic" w:eastAsia="Arial" w:hAnsi="Simplified Arabic" w:cs="Simplified Arabic"/>
          <w:i/>
          <w:iCs/>
          <w:color w:val="FF0000"/>
          <w:sz w:val="24"/>
          <w:szCs w:val="24"/>
          <w:rtl/>
          <w:lang w:val="en-GB" w:eastAsia="en-GB"/>
        </w:rPr>
        <w:t>،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أو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جمع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البيانات</w:t>
      </w:r>
      <w:r w:rsidR="003121C9" w:rsidRPr="0091797E">
        <w:rPr>
          <w:rFonts w:ascii="Simplified Arabic" w:eastAsia="Arial" w:hAnsi="Simplified Arabic" w:cs="Simplified Arabic"/>
          <w:i/>
          <w:iCs/>
          <w:color w:val="FF0000"/>
          <w:sz w:val="24"/>
          <w:szCs w:val="24"/>
          <w:rtl/>
          <w:lang w:val="en-GB" w:eastAsia="en-GB"/>
        </w:rPr>
        <w:t>،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أو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تحليلها</w:t>
      </w:r>
      <w:r w:rsidR="003121C9" w:rsidRPr="0091797E">
        <w:rPr>
          <w:rFonts w:ascii="Simplified Arabic" w:eastAsia="Arial" w:hAnsi="Simplified Arabic" w:cs="Simplified Arabic"/>
          <w:i/>
          <w:iCs/>
          <w:color w:val="FF0000"/>
          <w:sz w:val="24"/>
          <w:szCs w:val="24"/>
          <w:rtl/>
          <w:lang w:val="en-GB" w:eastAsia="en-GB"/>
        </w:rPr>
        <w:t>،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أو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اتخاذ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القرار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بنشر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النتائج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." — </w:t>
      </w:r>
      <w:r w:rsidR="0091797E" w:rsidRPr="0091797E">
        <w:rPr>
          <w:rFonts w:ascii="Simplified Arabic" w:eastAsia="Arial" w:hAnsi="Simplified Arabic" w:cs="Simplified Arabic" w:hint="cs"/>
          <w:i/>
          <w:iCs/>
          <w:sz w:val="24"/>
          <w:szCs w:val="24"/>
          <w:rtl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أو،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إن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كان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للجهة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الممولة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دور،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يجب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ذكره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صريحاً</w:t>
      </w:r>
      <w:r w:rsidRPr="0091797E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>.</w:t>
      </w:r>
    </w:p>
    <w:p w14:paraId="1EB49C50" w14:textId="77777777" w:rsidR="0083268F" w:rsidRPr="00DA5E51" w:rsidRDefault="0083268F" w:rsidP="00EB7B95">
      <w:pPr>
        <w:bidi/>
        <w:spacing w:before="120" w:after="120" w:line="240" w:lineRule="auto"/>
        <w:outlineLvl w:val="1"/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</w:pP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نموذج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البيان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—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في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حال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عدم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وجود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26"/>
          <w:szCs w:val="26"/>
          <w:rtl/>
          <w:lang w:val="en-GB" w:eastAsia="en-GB"/>
        </w:rPr>
        <w:t>تمويل</w:t>
      </w:r>
    </w:p>
    <w:p w14:paraId="11DD5A98" w14:textId="77777777" w:rsidR="003121C9" w:rsidRPr="00DA5E51" w:rsidRDefault="0083268F" w:rsidP="00EB7B95">
      <w:pPr>
        <w:pBdr>
          <w:top w:val="single" w:sz="2" w:space="0" w:color="AAAAAA"/>
          <w:left w:val="single" w:sz="12" w:space="0" w:color="1B3A6B"/>
          <w:bottom w:val="single" w:sz="2" w:space="0" w:color="AAAAAA"/>
          <w:right w:val="single" w:sz="2" w:space="0" w:color="AAAAAA"/>
        </w:pBdr>
        <w:bidi/>
        <w:spacing w:before="120" w:after="120" w:line="240" w:lineRule="auto"/>
        <w:ind w:left="500" w:right="500"/>
        <w:jc w:val="both"/>
        <w:rPr>
          <w:rFonts w:ascii="Simplified Arabic" w:hAnsi="Simplified Arabic" w:cs="Simplified Arabic"/>
        </w:rPr>
      </w:pP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>"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لم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تحصل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هذه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الدراسة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على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أي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دعم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مالي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أو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منحة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من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أي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جهة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عامة</w:t>
      </w:r>
      <w:r w:rsidR="003121C9" w:rsidRPr="00DA5E51">
        <w:rPr>
          <w:rFonts w:ascii="Simplified Arabic" w:eastAsia="Arial" w:hAnsi="Simplified Arabic" w:cs="Simplified Arabic"/>
          <w:i/>
          <w:iCs/>
          <w:color w:val="FF0000"/>
          <w:sz w:val="24"/>
          <w:szCs w:val="24"/>
          <w:rtl/>
          <w:lang w:val="en-GB" w:eastAsia="en-GB"/>
        </w:rPr>
        <w:t>،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أو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خاصة</w:t>
      </w:r>
      <w:r w:rsidR="003121C9" w:rsidRPr="00DA5E51">
        <w:rPr>
          <w:rFonts w:ascii="Simplified Arabic" w:eastAsia="Arial" w:hAnsi="Simplified Arabic" w:cs="Simplified Arabic"/>
          <w:i/>
          <w:iCs/>
          <w:color w:val="FF0000"/>
          <w:sz w:val="24"/>
          <w:szCs w:val="24"/>
          <w:rtl/>
          <w:lang w:val="en-GB" w:eastAsia="en-GB"/>
        </w:rPr>
        <w:t>،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أو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غير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rtl/>
          <w:lang w:val="en-GB" w:eastAsia="en-GB"/>
        </w:rPr>
        <w:t>ربحية</w:t>
      </w:r>
      <w:r w:rsidRPr="00DA5E51">
        <w:rPr>
          <w:rFonts w:ascii="Simplified Arabic" w:eastAsia="Arial" w:hAnsi="Simplified Arabic" w:cs="Simplified Arabic"/>
          <w:i/>
          <w:iCs/>
          <w:sz w:val="24"/>
          <w:szCs w:val="24"/>
          <w:lang w:val="en-GB" w:eastAsia="en-GB"/>
        </w:rPr>
        <w:t>."</w:t>
      </w:r>
    </w:p>
    <w:p w14:paraId="6379C494" w14:textId="77777777" w:rsidR="00DC78FF" w:rsidRDefault="00DC78FF" w:rsidP="00DC78FF">
      <w:pPr>
        <w:pStyle w:val="ListParagraph"/>
        <w:bidi/>
        <w:spacing w:before="120" w:after="120" w:line="240" w:lineRule="auto"/>
        <w:ind w:left="360"/>
        <w:outlineLvl w:val="0"/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rtl/>
          <w:lang w:val="en-GB" w:eastAsia="en-GB"/>
        </w:rPr>
      </w:pPr>
    </w:p>
    <w:p w14:paraId="67DD07F8" w14:textId="77777777" w:rsidR="00DC78FF" w:rsidRDefault="00DC78FF" w:rsidP="00DC78FF">
      <w:pPr>
        <w:pStyle w:val="ListParagraph"/>
        <w:bidi/>
        <w:spacing w:before="120" w:after="120" w:line="240" w:lineRule="auto"/>
        <w:ind w:left="360"/>
        <w:outlineLvl w:val="0"/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rtl/>
          <w:lang w:val="en-GB" w:eastAsia="en-GB"/>
        </w:rPr>
      </w:pPr>
    </w:p>
    <w:p w14:paraId="73E92F2A" w14:textId="5177469E" w:rsidR="0083268F" w:rsidRPr="00DA5E51" w:rsidRDefault="0083268F" w:rsidP="00DC78FF">
      <w:pPr>
        <w:pStyle w:val="ListParagraph"/>
        <w:bidi/>
        <w:spacing w:before="120" w:after="120" w:line="240" w:lineRule="auto"/>
        <w:ind w:left="360"/>
        <w:outlineLvl w:val="0"/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lang w:val="en-GB" w:eastAsia="en-GB"/>
        </w:rPr>
      </w:pPr>
      <w:r w:rsidRPr="00DA5E5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rtl/>
          <w:lang w:val="en-GB" w:eastAsia="en-GB"/>
        </w:rPr>
        <w:t>أين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rtl/>
          <w:lang w:val="en-GB" w:eastAsia="en-GB"/>
        </w:rPr>
        <w:t>تُضاف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rtl/>
          <w:lang w:val="en-GB" w:eastAsia="en-GB"/>
        </w:rPr>
        <w:t>هذه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rtl/>
          <w:lang w:val="en-GB" w:eastAsia="en-GB"/>
        </w:rPr>
        <w:t>البيانات؟</w:t>
      </w:r>
    </w:p>
    <w:p w14:paraId="53C35611" w14:textId="36F6913C" w:rsidR="0083268F" w:rsidRPr="00DA5E51" w:rsidRDefault="0083268F" w:rsidP="00EB7B95">
      <w:pPr>
        <w:numPr>
          <w:ilvl w:val="0"/>
          <w:numId w:val="1"/>
        </w:numPr>
        <w:bidi/>
        <w:spacing w:before="120" w:after="120" w:line="240" w:lineRule="auto"/>
        <w:rPr>
          <w:rFonts w:ascii="Simplified Arabic" w:eastAsia="Arial" w:hAnsi="Simplified Arabic" w:cs="Simplified Arabic"/>
          <w:sz w:val="24"/>
          <w:szCs w:val="24"/>
          <w:lang w:val="en-GB" w:eastAsia="en-GB"/>
        </w:rPr>
      </w:pP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في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نموذج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تقديم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البحث</w:t>
      </w:r>
      <w:r w:rsidR="005F1EDC"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(Submission Form):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حقلان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إلزاميان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منفصلان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يُطلب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المؤلف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تعبئتهما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قبل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قبول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البحث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للتحكيم</w:t>
      </w:r>
    </w:p>
    <w:p w14:paraId="07C9B51A" w14:textId="7C7663F4" w:rsidR="000F30A0" w:rsidRPr="00463EB1" w:rsidRDefault="0083268F" w:rsidP="00463EB1">
      <w:pPr>
        <w:numPr>
          <w:ilvl w:val="0"/>
          <w:numId w:val="1"/>
        </w:numPr>
        <w:bidi/>
        <w:spacing w:before="120" w:after="120" w:line="240" w:lineRule="auto"/>
        <w:rPr>
          <w:rFonts w:ascii="Simplified Arabic" w:eastAsia="Arial" w:hAnsi="Simplified Arabic" w:cs="Simplified Arabic"/>
          <w:sz w:val="24"/>
          <w:szCs w:val="24"/>
          <w:lang w:val="en-GB" w:eastAsia="en-GB"/>
        </w:rPr>
      </w:pP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في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نص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البحث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المنشور</w:t>
      </w:r>
      <w:r w:rsidR="005F1EDC">
        <w:rPr>
          <w:rFonts w:ascii="Simplified Arabic" w:eastAsia="Arial" w:hAnsi="Simplified Arabic" w:cs="Simplified Arabic" w:hint="cs"/>
          <w:sz w:val="24"/>
          <w:szCs w:val="24"/>
          <w:rtl/>
          <w:lang w:val="en-GB" w:eastAsia="en-GB"/>
        </w:rPr>
        <w:t xml:space="preserve">: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في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نهاية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المقال،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في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قسمين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مستقلين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بعنوان</w:t>
      </w:r>
      <w:r w:rsidR="005F1EDC">
        <w:rPr>
          <w:rFonts w:ascii="Simplified Arabic" w:eastAsia="Arial" w:hAnsi="Simplified Arabic" w:cs="Simplified Arabic" w:hint="cs"/>
          <w:sz w:val="24"/>
          <w:szCs w:val="24"/>
          <w:rtl/>
          <w:lang w:val="en-GB" w:eastAsia="en-GB"/>
        </w:rPr>
        <w:t xml:space="preserve"> "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تضارب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المصالح</w:t>
      </w:r>
      <w:r w:rsidR="005F1EDC">
        <w:rPr>
          <w:rFonts w:ascii="Simplified Arabic" w:eastAsia="Arial" w:hAnsi="Simplified Arabic" w:cs="Simplified Arabic" w:hint="cs"/>
          <w:sz w:val="24"/>
          <w:szCs w:val="24"/>
          <w:rtl/>
          <w:lang w:val="en-GB" w:eastAsia="en-GB"/>
        </w:rPr>
        <w:t>"</w:t>
      </w:r>
      <w:r w:rsidR="00463EB1">
        <w:rPr>
          <w:rFonts w:ascii="Simplified Arabic" w:eastAsia="Arial" w:hAnsi="Simplified Arabic" w:cs="Simplified Arabic" w:hint="cs"/>
          <w:sz w:val="24"/>
          <w:szCs w:val="24"/>
          <w:rtl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و</w:t>
      </w:r>
      <w:r w:rsidR="00463EB1">
        <w:rPr>
          <w:rFonts w:ascii="Simplified Arabic" w:eastAsia="Arial" w:hAnsi="Simplified Arabic" w:cs="Simplified Arabic" w:hint="cs"/>
          <w:sz w:val="24"/>
          <w:szCs w:val="24"/>
          <w:rtl/>
          <w:lang w:val="en-GB" w:eastAsia="en-GB"/>
        </w:rPr>
        <w:t>"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التمويل</w:t>
      </w:r>
      <w:r w:rsidR="00463EB1">
        <w:rPr>
          <w:rFonts w:ascii="Simplified Arabic" w:eastAsia="Arial" w:hAnsi="Simplified Arabic" w:cs="Simplified Arabic" w:hint="cs"/>
          <w:sz w:val="24"/>
          <w:szCs w:val="24"/>
          <w:rtl/>
          <w:lang w:val="en-GB" w:eastAsia="en-GB"/>
        </w:rPr>
        <w:t>"</w:t>
      </w:r>
      <w:r w:rsidRPr="00463EB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،</w:t>
      </w:r>
      <w:r w:rsidRPr="00463EB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463EB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قبل</w:t>
      </w:r>
      <w:r w:rsidRPr="00463EB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463EB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قائمة</w:t>
      </w:r>
      <w:r w:rsidRPr="00463EB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463EB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المراجع</w:t>
      </w:r>
      <w:r w:rsidRPr="00463EB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463EB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مباشرة</w:t>
      </w:r>
    </w:p>
    <w:p w14:paraId="603561A3" w14:textId="25879681" w:rsidR="0083268F" w:rsidRPr="00DC78FF" w:rsidRDefault="0083268F" w:rsidP="00DC78FF">
      <w:pPr>
        <w:pStyle w:val="ListParagraph"/>
        <w:bidi/>
        <w:spacing w:before="120" w:after="120" w:line="240" w:lineRule="auto"/>
        <w:ind w:left="360"/>
        <w:outlineLvl w:val="0"/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lang w:val="en-GB" w:eastAsia="en-GB"/>
        </w:rPr>
      </w:pPr>
      <w:r w:rsidRPr="00DC78FF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rtl/>
          <w:lang w:val="en-GB" w:eastAsia="en-GB"/>
        </w:rPr>
        <w:t>مسؤولية</w:t>
      </w:r>
      <w:r w:rsidRPr="00DC78FF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lang w:val="en-GB" w:eastAsia="en-GB"/>
        </w:rPr>
        <w:t xml:space="preserve"> </w:t>
      </w:r>
      <w:r w:rsidRPr="00DC78FF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rtl/>
          <w:lang w:val="en-GB" w:eastAsia="en-GB"/>
        </w:rPr>
        <w:t>هيئة</w:t>
      </w:r>
      <w:r w:rsidRPr="00DC78FF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lang w:val="en-GB" w:eastAsia="en-GB"/>
        </w:rPr>
        <w:t xml:space="preserve"> </w:t>
      </w:r>
      <w:r w:rsidRPr="00DC78FF">
        <w:rPr>
          <w:rFonts w:ascii="Simplified Arabic" w:eastAsia="Arial" w:hAnsi="Simplified Arabic" w:cs="Simplified Arabic"/>
          <w:b/>
          <w:bCs/>
          <w:color w:val="1B3A6B"/>
          <w:sz w:val="30"/>
          <w:szCs w:val="30"/>
          <w:rtl/>
          <w:lang w:val="en-GB" w:eastAsia="en-GB"/>
        </w:rPr>
        <w:t>التحرير</w:t>
      </w:r>
    </w:p>
    <w:p w14:paraId="7AEF9715" w14:textId="77777777" w:rsidR="0083268F" w:rsidRPr="00DA5E51" w:rsidRDefault="0083268F" w:rsidP="00EB7B95">
      <w:pPr>
        <w:numPr>
          <w:ilvl w:val="0"/>
          <w:numId w:val="1"/>
        </w:numPr>
        <w:bidi/>
        <w:spacing w:before="120" w:after="120" w:line="240" w:lineRule="auto"/>
        <w:rPr>
          <w:rFonts w:ascii="Simplified Arabic" w:eastAsia="Arial" w:hAnsi="Simplified Arabic" w:cs="Simplified Arabic"/>
          <w:sz w:val="24"/>
          <w:szCs w:val="24"/>
          <w:lang w:val="en-GB" w:eastAsia="en-GB"/>
        </w:rPr>
      </w:pP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لا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يُقبل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أي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بحث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للتحكيم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النهائي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دون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استيفاء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هذين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البيانين</w:t>
      </w:r>
    </w:p>
    <w:p w14:paraId="5483FDE8" w14:textId="48B5E84B" w:rsidR="0083268F" w:rsidRPr="00DA5E51" w:rsidRDefault="0083268F" w:rsidP="00EB7B95">
      <w:pPr>
        <w:numPr>
          <w:ilvl w:val="0"/>
          <w:numId w:val="1"/>
        </w:numPr>
        <w:bidi/>
        <w:spacing w:before="120" w:after="120" w:line="240" w:lineRule="auto"/>
        <w:rPr>
          <w:rFonts w:ascii="Simplified Arabic" w:eastAsia="Arial" w:hAnsi="Simplified Arabic" w:cs="Simplified Arabic"/>
          <w:sz w:val="24"/>
          <w:szCs w:val="24"/>
          <w:lang w:val="en-GB" w:eastAsia="en-GB"/>
        </w:rPr>
      </w:pP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في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حال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اكتشاف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تضارب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مصالح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غير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مُصرَّح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عنه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بعد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النشر،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يحق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للمجلة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نشر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تصحيح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أو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سحب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البحث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(Retraction) </w:t>
      </w:r>
      <w:r w:rsidRPr="00DA5E51">
        <w:rPr>
          <w:rFonts w:ascii="Simplified Arabic" w:eastAsia="Arial" w:hAnsi="Simplified Arabic" w:cs="Simplified Arabic"/>
          <w:sz w:val="24"/>
          <w:szCs w:val="24"/>
          <w:rtl/>
          <w:lang w:val="en-GB" w:eastAsia="en-GB"/>
        </w:rPr>
        <w:t>وفق</w:t>
      </w:r>
      <w:r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 xml:space="preserve"> </w:t>
      </w:r>
      <w:r w:rsidR="00D700B2" w:rsidRPr="00DA5E51">
        <w:rPr>
          <w:rFonts w:ascii="Simplified Arabic" w:eastAsia="Arial" w:hAnsi="Simplified Arabic" w:cs="Simplified Arabic" w:hint="cs"/>
          <w:sz w:val="24"/>
          <w:szCs w:val="24"/>
          <w:rtl/>
          <w:lang w:val="en-GB" w:eastAsia="en-GB"/>
        </w:rPr>
        <w:t>سياسة</w:t>
      </w:r>
      <w:r w:rsidR="00D700B2">
        <w:rPr>
          <w:rFonts w:ascii="Simplified Arabic" w:eastAsia="Arial" w:hAnsi="Simplified Arabic" w:cs="Simplified Arabic" w:hint="cs"/>
          <w:sz w:val="24"/>
          <w:szCs w:val="24"/>
          <w:rtl/>
          <w:lang w:val="en-GB" w:eastAsia="en-GB"/>
        </w:rPr>
        <w:t xml:space="preserve"> </w:t>
      </w:r>
      <w:r w:rsidR="00D700B2" w:rsidRPr="00DA5E51">
        <w:rPr>
          <w:rFonts w:ascii="Simplified Arabic" w:eastAsia="Arial" w:hAnsi="Simplified Arabic" w:cs="Simplified Arabic"/>
          <w:sz w:val="24"/>
          <w:szCs w:val="24"/>
          <w:lang w:val="en-GB" w:eastAsia="en-GB"/>
        </w:rPr>
        <w:t>COPE</w:t>
      </w:r>
    </w:p>
    <w:p w14:paraId="4B518B7B" w14:textId="77777777" w:rsidR="00BA5629" w:rsidRPr="00DA5E51" w:rsidRDefault="00BA5629" w:rsidP="00EB7B95">
      <w:pPr>
        <w:bidi/>
        <w:spacing w:before="120" w:after="120" w:line="240" w:lineRule="auto"/>
        <w:rPr>
          <w:rFonts w:ascii="Simplified Arabic" w:hAnsi="Simplified Arabic" w:cs="Simplified Arabic"/>
          <w:lang w:val="en-GB"/>
        </w:rPr>
      </w:pPr>
    </w:p>
    <w:sectPr w:rsidR="00BA5629" w:rsidRPr="00DA5E51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D57BE"/>
    <w:multiLevelType w:val="multilevel"/>
    <w:tmpl w:val="D0063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05604"/>
    <w:multiLevelType w:val="hybridMultilevel"/>
    <w:tmpl w:val="31920492"/>
    <w:lvl w:ilvl="0" w:tplc="C2B891B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BB16BF"/>
    <w:multiLevelType w:val="multilevel"/>
    <w:tmpl w:val="C592F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2F611B"/>
    <w:multiLevelType w:val="multilevel"/>
    <w:tmpl w:val="077A1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EE604C"/>
    <w:multiLevelType w:val="hybridMultilevel"/>
    <w:tmpl w:val="E39EC3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7F37611"/>
    <w:multiLevelType w:val="multilevel"/>
    <w:tmpl w:val="81D8B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9875A3"/>
    <w:multiLevelType w:val="hybridMultilevel"/>
    <w:tmpl w:val="FFFFFFFF"/>
    <w:lvl w:ilvl="0" w:tplc="6CCA00A4">
      <w:start w:val="1"/>
      <w:numFmt w:val="bullet"/>
      <w:lvlText w:val="•"/>
      <w:lvlJc w:val="left"/>
      <w:pPr>
        <w:ind w:left="1440" w:hanging="360"/>
      </w:pPr>
    </w:lvl>
    <w:lvl w:ilvl="1" w:tplc="FCF02B90">
      <w:numFmt w:val="decimal"/>
      <w:lvlText w:val=""/>
      <w:lvlJc w:val="left"/>
    </w:lvl>
    <w:lvl w:ilvl="2" w:tplc="9C307E68">
      <w:numFmt w:val="decimal"/>
      <w:lvlText w:val=""/>
      <w:lvlJc w:val="left"/>
    </w:lvl>
    <w:lvl w:ilvl="3" w:tplc="C8C0E61A">
      <w:numFmt w:val="decimal"/>
      <w:lvlText w:val=""/>
      <w:lvlJc w:val="left"/>
    </w:lvl>
    <w:lvl w:ilvl="4" w:tplc="F2FC61E2">
      <w:numFmt w:val="decimal"/>
      <w:lvlText w:val=""/>
      <w:lvlJc w:val="left"/>
    </w:lvl>
    <w:lvl w:ilvl="5" w:tplc="8468EC4A">
      <w:numFmt w:val="decimal"/>
      <w:lvlText w:val=""/>
      <w:lvlJc w:val="left"/>
    </w:lvl>
    <w:lvl w:ilvl="6" w:tplc="8AAC6C4C">
      <w:numFmt w:val="decimal"/>
      <w:lvlText w:val=""/>
      <w:lvlJc w:val="left"/>
    </w:lvl>
    <w:lvl w:ilvl="7" w:tplc="3CB8AD82">
      <w:numFmt w:val="decimal"/>
      <w:lvlText w:val=""/>
      <w:lvlJc w:val="left"/>
    </w:lvl>
    <w:lvl w:ilvl="8" w:tplc="D234CEAE">
      <w:numFmt w:val="decimal"/>
      <w:lvlText w:val=""/>
      <w:lvlJc w:val="left"/>
    </w:lvl>
  </w:abstractNum>
  <w:abstractNum w:abstractNumId="7" w15:restartNumberingAfterBreak="0">
    <w:nsid w:val="5A9144E8"/>
    <w:multiLevelType w:val="hybridMultilevel"/>
    <w:tmpl w:val="7E4E0A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907DF2"/>
    <w:multiLevelType w:val="hybridMultilevel"/>
    <w:tmpl w:val="DF22C1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066027"/>
    <w:multiLevelType w:val="multilevel"/>
    <w:tmpl w:val="20EC8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E1106D"/>
    <w:multiLevelType w:val="multilevel"/>
    <w:tmpl w:val="990A8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8563910">
    <w:abstractNumId w:val="6"/>
    <w:lvlOverride w:ilvl="0">
      <w:startOverride w:val="1"/>
    </w:lvlOverride>
  </w:num>
  <w:num w:numId="2" w16cid:durableId="2067098356">
    <w:abstractNumId w:val="8"/>
  </w:num>
  <w:num w:numId="3" w16cid:durableId="1737318735">
    <w:abstractNumId w:val="7"/>
  </w:num>
  <w:num w:numId="4" w16cid:durableId="773401987">
    <w:abstractNumId w:val="4"/>
  </w:num>
  <w:num w:numId="5" w16cid:durableId="1866551361">
    <w:abstractNumId w:val="3"/>
  </w:num>
  <w:num w:numId="6" w16cid:durableId="2063866985">
    <w:abstractNumId w:val="10"/>
  </w:num>
  <w:num w:numId="7" w16cid:durableId="1432045111">
    <w:abstractNumId w:val="2"/>
  </w:num>
  <w:num w:numId="8" w16cid:durableId="704864240">
    <w:abstractNumId w:val="9"/>
  </w:num>
  <w:num w:numId="9" w16cid:durableId="1452820204">
    <w:abstractNumId w:val="1"/>
  </w:num>
  <w:num w:numId="10" w16cid:durableId="93017686">
    <w:abstractNumId w:val="0"/>
  </w:num>
  <w:num w:numId="11" w16cid:durableId="7709703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268F"/>
    <w:rsid w:val="000D66B2"/>
    <w:rsid w:val="000F30A0"/>
    <w:rsid w:val="001E1655"/>
    <w:rsid w:val="00284D82"/>
    <w:rsid w:val="002860B6"/>
    <w:rsid w:val="003121C9"/>
    <w:rsid w:val="003507B8"/>
    <w:rsid w:val="003D43B3"/>
    <w:rsid w:val="00463EB1"/>
    <w:rsid w:val="00565A06"/>
    <w:rsid w:val="005F1EDC"/>
    <w:rsid w:val="0066089D"/>
    <w:rsid w:val="007C608F"/>
    <w:rsid w:val="0083268F"/>
    <w:rsid w:val="008C5113"/>
    <w:rsid w:val="0091797E"/>
    <w:rsid w:val="00A02640"/>
    <w:rsid w:val="00A24CF9"/>
    <w:rsid w:val="00BA5629"/>
    <w:rsid w:val="00BE6411"/>
    <w:rsid w:val="00C05E7B"/>
    <w:rsid w:val="00D10555"/>
    <w:rsid w:val="00D700B2"/>
    <w:rsid w:val="00DA5E51"/>
    <w:rsid w:val="00DC78FF"/>
    <w:rsid w:val="00EB7B95"/>
    <w:rsid w:val="00FA4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75BAF"/>
  <w15:chartTrackingRefBased/>
  <w15:docId w15:val="{0A20FDE6-324B-4E5D-AE69-8FACA9F3F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268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32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048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0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363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B Khatib</cp:lastModifiedBy>
  <cp:revision>3</cp:revision>
  <dcterms:created xsi:type="dcterms:W3CDTF">2026-06-20T08:04:00Z</dcterms:created>
  <dcterms:modified xsi:type="dcterms:W3CDTF">2026-06-20T08:25:00Z</dcterms:modified>
</cp:coreProperties>
</file>